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40"/>
        <w:jc w:val="center"/>
      </w:pPr>
      <w:r>
        <w:drawing>
          <wp:inline xmlns:a="http://schemas.openxmlformats.org/drawingml/2006/main" xmlns:pic="http://schemas.openxmlformats.org/drawingml/2006/picture">
            <wp:extent cx="658368" cy="658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360" w:line="300" w:lineRule="auto"/>
        <w:jc w:val="center"/>
      </w:pPr>
      <w:r>
        <w:rPr>
          <w:rFonts w:ascii="Calibri" w:hAnsi="Calibri"/>
          <w:b/>
          <w:i w:val="0"/>
          <w:color w:val="2C9AC7"/>
          <w:sz w:val="20"/>
        </w:rPr>
        <w:t>UCS TECHNICAL FIELD GUIDE</w:t>
      </w:r>
    </w:p>
    <w:p>
      <w:pPr>
        <w:spacing w:before="0" w:after="200" w:line="240" w:lineRule="auto"/>
        <w:jc w:val="center"/>
      </w:pPr>
      <w:r>
        <w:rPr>
          <w:rFonts w:ascii="Calibri" w:hAnsi="Calibri"/>
          <w:b/>
          <w:i w:val="0"/>
          <w:color w:val="0E2231"/>
          <w:sz w:val="60"/>
        </w:rPr>
        <w:t>Niagara Platform Architecture Guide</w:t>
      </w:r>
    </w:p>
    <w:p>
      <w:pPr>
        <w:spacing w:before="0" w:after="560" w:line="276" w:lineRule="auto"/>
        <w:jc w:val="center"/>
      </w:pPr>
      <w:r>
        <w:rPr>
          <w:rFonts w:ascii="Calibri" w:hAnsi="Calibri"/>
          <w:b w:val="0"/>
          <w:i w:val="0"/>
          <w:color w:val="2B6388"/>
          <w:sz w:val="30"/>
        </w:rPr>
        <w:t>ABB · Siemens · Honeywell · Johnson Controls</w:t>
      </w:r>
    </w:p>
    <w:p>
      <w:pPr>
        <w:spacing w:before="0" w:after="1480" w:line="300" w:lineRule="auto"/>
        <w:jc w:val="center"/>
      </w:pPr>
      <w:r>
        <w:rPr>
          <w:rFonts w:ascii="Calibri" w:hAnsi="Calibri"/>
          <w:b/>
          <w:i w:val="0"/>
          <w:color w:val="2C9AC7"/>
          <w:sz w:val="21"/>
        </w:rPr>
        <w:t>—  Field-earned, not brochure-deep  —</w:t>
      </w:r>
    </w:p>
    <w:p>
      <w:pPr>
        <w:spacing w:before="0" w:after="80" w:line="300" w:lineRule="auto"/>
        <w:jc w:val="center"/>
      </w:pPr>
      <w:r>
        <w:rPr>
          <w:rFonts w:ascii="Calibri" w:hAnsi="Calibri"/>
          <w:b/>
          <w:i w:val="0"/>
          <w:color w:val="0E2231"/>
          <w:sz w:val="22"/>
        </w:rPr>
        <w:t>JULY 2026</w:t>
      </w:r>
    </w:p>
    <w:p>
      <w:pPr>
        <w:spacing w:before="0" w:after="360" w:line="300" w:lineRule="auto"/>
        <w:jc w:val="center"/>
      </w:pPr>
      <w:r>
        <w:rPr>
          <w:rFonts w:ascii="Calibri" w:hAnsi="Calibri"/>
          <w:b w:val="0"/>
          <w:i/>
          <w:color w:val="526775"/>
          <w:sz w:val="19"/>
        </w:rPr>
        <w:t>Prepared for building owners, consulting engineers, facility teams and IT/OT stakeholders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nil" w:sz="6" w:color="CAD6DE"/>
          <w:left w:val="nil" w:sz="6" w:color="CAD6DE"/>
          <w:bottom w:val="nil" w:sz="6" w:color="CAD6DE"/>
          <w:right w:val="nil" w:sz="6" w:color="CAD6DE"/>
          <w:insideH w:val="nil" w:sz="6" w:color="CAD6DE"/>
          <w:insideV w:val="nil" w:sz="6" w:color="CAD6D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140" w:after="1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8"/>
              </w:rPr>
              <w:t>NIAGARA SUPERVISION · OWNER ADVOCACY · SUPPORTABLE FIELD CONTROL</w:t>
            </w:r>
          </w:p>
        </w:tc>
      </w:tr>
    </w:tbl>
    <w:p>
      <w:r>
        <w:br w:type="page"/>
      </w:r>
    </w:p>
    <w:p>
      <w:pPr>
        <w:pStyle w:val="Heading1"/>
      </w:pPr>
      <w:r>
        <w:t>The UCS point of view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B9FF00"/>
                <w:sz w:val="22"/>
              </w:rPr>
              <w:t>FIELD-EARNED, NOT BROCHURE-DEEP.</w:t>
            </w:r>
          </w:p>
          <w:p>
            <w:pPr>
              <w:spacing w:after="0" w:line="288" w:lineRule="auto"/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Our team has installed, programmed and serviced these systems in the field—including lines we do not represent—so we know the real strengths and trade-offs first-hand. That experience lets UCS act as an advocate for the owner, not a salesperson for a badge.</w:t>
            </w:r>
          </w:p>
        </w:tc>
      </w:tr>
    </w:tbl>
    <w:p>
      <w:pPr>
        <w:pStyle w:val="Heading2"/>
      </w:pPr>
      <w:r>
        <w:t>What stays consistent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Niagara is the supervisory and integration standard above the controller line.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NiagaraMods Reflow is the standard UCS operator interface, licensed appropriately for each deployment.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BACnet helps systems communicate; it does not make controller logic, licenses, databases or service tools interchangeable.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Native platform engineering tools remain part of a supportable design; one front end does not erase them.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Controller choice follows the installed base, sequences, IT standards, service resources and owner goals.</w:t>
      </w:r>
    </w:p>
    <w:p>
      <w:pPr>
        <w:pStyle w:val="Heading2"/>
      </w:pPr>
      <w:r>
        <w:t>Portfolio-level architecture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nil" w:sz="6" w:color="CAD6DE"/>
          <w:left w:val="nil" w:sz="6" w:color="CAD6DE"/>
          <w:bottom w:val="nil" w:sz="6" w:color="CAD6DE"/>
          <w:right w:val="nil" w:sz="6" w:color="CAD6DE"/>
          <w:insideH w:val="nil" w:sz="6" w:color="CAD6DE"/>
          <w:insideV w:val="nil" w:sz="6" w:color="CAD6DE"/>
        </w:tblBorders>
      </w:tblPr>
      <w:tblGrid>
        <w:gridCol w:w="1696"/>
        <w:gridCol w:w="220"/>
        <w:gridCol w:w="1696"/>
        <w:gridCol w:w="220"/>
        <w:gridCol w:w="1696"/>
        <w:gridCol w:w="220"/>
        <w:gridCol w:w="1696"/>
        <w:gridCol w:w="220"/>
        <w:gridCol w:w="1696"/>
      </w:tblGrid>
      <w:tr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PEOPLE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Operators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Service teams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EXPERIENCE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Reflow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Responsive UI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SUPERVISORY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Niagara N4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Alarms · histories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AUTOMATION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Open BACnet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ABB · Siemens · HWE · JCI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FIELD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Equipment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Sensors · actuators</w:t>
            </w:r>
          </w:p>
        </w:tc>
      </w:tr>
    </w:tbl>
    <w:p>
      <w:pPr>
        <w:spacing w:before="80" w:after="160" w:line="264" w:lineRule="auto"/>
      </w:pPr>
      <w:r>
        <w:rPr>
          <w:rFonts w:ascii="Calibri" w:hAnsi="Calibri"/>
          <w:b w:val="0"/>
          <w:i/>
          <w:color w:val="526775"/>
          <w:sz w:val="17"/>
        </w:rPr>
        <w:t>Conceptual only. Final topologies depend on product generation, software version, licensing, owner cybersecurity standards and existing site conditions.</w:t>
      </w:r>
    </w:p>
    <w:p>
      <w:pPr>
        <w:pStyle w:val="Heading2"/>
      </w:pPr>
      <w:r>
        <w:t>How to use this guide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1800"/>
        <w:gridCol w:w="2700"/>
        <w:gridCol w:w="4860"/>
      </w:tblGrid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USE CASE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FIT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FIELD NOTE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Early design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Compare trade-offs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Use the risers to align owner, engineer, controls and IT expectations.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Migration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Inventory first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Do not budget reuse until databases, wiring, firmware, tools and sequences are verified.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Selection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Choose the service model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Confirm who can edit native logic, restore backups and support the site after turnover.</w:t>
            </w:r>
          </w:p>
        </w:tc>
      </w:tr>
    </w:tbl>
    <w:p>
      <w:r>
        <w:br w:type="page"/>
      </w:r>
    </w:p>
    <w:p>
      <w:pPr>
        <w:pStyle w:val="Heading1"/>
      </w:pPr>
      <w:r>
        <w:t>01 · ABB Cylon</w:t>
      </w:r>
    </w:p>
    <w:p>
      <w:pPr>
        <w:spacing w:before="0" w:after="160" w:line="300" w:lineRule="auto"/>
      </w:pPr>
      <w:r>
        <w:rPr>
          <w:rFonts w:ascii="Calibri" w:hAnsi="Calibri"/>
          <w:b/>
          <w:i w:val="0"/>
          <w:color w:val="2B6388"/>
          <w:sz w:val="23"/>
        </w:rPr>
        <w:t>UCS lead control platform: open BACnet field control beneath Niagara and NiagaraMods Reflow.</w:t>
      </w:r>
    </w:p>
    <w:p>
      <w:pPr>
        <w:pStyle w:val="Heading2"/>
      </w:pPr>
      <w:r>
        <w:t>Conceptual Niagara-centered riser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nil" w:sz="6" w:color="CAD6DE"/>
          <w:left w:val="nil" w:sz="6" w:color="CAD6DE"/>
          <w:bottom w:val="nil" w:sz="6" w:color="CAD6DE"/>
          <w:right w:val="nil" w:sz="6" w:color="CAD6DE"/>
          <w:insideH w:val="nil" w:sz="6" w:color="CAD6DE"/>
          <w:insideV w:val="nil" w:sz="6" w:color="CAD6DE"/>
        </w:tblBorders>
      </w:tblPr>
      <w:tblGrid>
        <w:gridCol w:w="1696"/>
        <w:gridCol w:w="220"/>
        <w:gridCol w:w="1696"/>
        <w:gridCol w:w="220"/>
        <w:gridCol w:w="1696"/>
        <w:gridCol w:w="220"/>
        <w:gridCol w:w="1696"/>
        <w:gridCol w:w="220"/>
        <w:gridCol w:w="1696"/>
      </w:tblGrid>
      <w:tr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EXPERIENCE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Operators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Reflow views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SUPERVISORY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Niagara N4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Integration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IP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BACnet/IP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Open backbone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AUTOMATION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CBXi / FLXeon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Plant · unitary · VAV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FIELD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MS/TP · Modbus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Sensors · equipment</w:t>
            </w:r>
          </w:p>
        </w:tc>
      </w:tr>
    </w:tbl>
    <w:p>
      <w:pPr>
        <w:spacing w:before="80" w:after="160" w:line="264" w:lineRule="auto"/>
      </w:pPr>
      <w:r>
        <w:rPr>
          <w:rFonts w:ascii="Calibri" w:hAnsi="Calibri"/>
          <w:b w:val="0"/>
          <w:i/>
          <w:color w:val="526775"/>
          <w:sz w:val="17"/>
        </w:rPr>
        <w:t>ABB logic remains native to CXproHD; Niagara is the owner-facing supervisory and integration layer.</w:t>
      </w:r>
    </w:p>
    <w:p>
      <w:pPr>
        <w:pStyle w:val="Heading2"/>
      </w:pPr>
      <w:r>
        <w:t>Field perspective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4680"/>
        <w:gridCol w:w="4680"/>
      </w:tblGrid>
      <w:tr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8EEF5"/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2B6388"/>
                <w:sz w:val="18"/>
              </w:rPr>
              <w:t>WHERE IT IS STRONG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Open BACnet/IP, MS/TP and Modbus paths.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Flexible plant, unitary and VAV controller range.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Native IP terminal options improve service access.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Strong value beneath a Niagara owner standard.</w:t>
            </w:r>
          </w:p>
        </w:tc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4F6F9"/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0E2231"/>
                <w:sz w:val="18"/>
              </w:rPr>
              <w:t>DESIGN CONSIDERATIONS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CXproHD skill and source-file control remain essential.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Mixed Cylon generations require discovery.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Native front-end features may need intentional Niagara rebuilds.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Routing, addressing and controller capacity must be engineered.</w:t>
            </w:r>
          </w:p>
        </w:tc>
      </w:tr>
    </w:tbl>
    <w:p>
      <w:pPr>
        <w:pStyle w:val="Heading2"/>
      </w:pPr>
      <w:r>
        <w:t>Where it fits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1800"/>
        <w:gridCol w:w="2700"/>
        <w:gridCol w:w="4860"/>
      </w:tblGrid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USE CASE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FIT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FIELD NOTE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New construction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Best fit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Open-system owners who value flexible field control.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Modernization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Strong fit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Preserve useful devices while upgrading supervisory and automation layers.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Mixed generations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Discovery first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Inventory databases, logic, wiring and controller models before pricing.</w:t>
            </w:r>
          </w:p>
        </w:tc>
      </w:tr>
    </w:tbl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6F9FB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2B6388"/>
                <w:sz w:val="22"/>
              </w:rPr>
              <w:t>Owner-advocate question</w:t>
            </w:r>
          </w:p>
          <w:p>
            <w:pPr>
              <w:spacing w:after="0" w:line="288" w:lineRule="auto"/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Does the design preserve owner choice at the supervisory layer while keeping controller logic supportable by qualified technicians?</w:t>
            </w:r>
          </w:p>
        </w:tc>
      </w:tr>
    </w:tbl>
    <w:p>
      <w:r>
        <w:br w:type="page"/>
      </w:r>
    </w:p>
    <w:p>
      <w:pPr>
        <w:pStyle w:val="Heading1"/>
      </w:pPr>
      <w:r>
        <w:t>02 · Siemens Desigo</w:t>
      </w:r>
    </w:p>
    <w:p>
      <w:pPr>
        <w:spacing w:before="0" w:after="160" w:line="300" w:lineRule="auto"/>
      </w:pPr>
      <w:r>
        <w:rPr>
          <w:rFonts w:ascii="Calibri" w:hAnsi="Calibri"/>
          <w:b/>
          <w:i w:val="0"/>
          <w:color w:val="2B6388"/>
          <w:sz w:val="23"/>
        </w:rPr>
        <w:t>New UCS line: Desigo PXC automation integrated into the same Niagara/Reflow operator standard.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1F7FA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2C9AC7"/>
                <w:sz w:val="22"/>
              </w:rPr>
              <w:t>NEWLY ADDED LINE</w:t>
            </w:r>
          </w:p>
          <w:p>
            <w:pPr>
              <w:spacing w:after="0" w:line="288" w:lineRule="auto"/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UCS-specific Siemens case studies and deep engineering resources will grow as current work is completed. The architecture below is deliberately conservative and does not overstate project history.</w:t>
            </w:r>
          </w:p>
        </w:tc>
      </w:tr>
    </w:tbl>
    <w:p>
      <w:pPr>
        <w:pStyle w:val="Heading2"/>
      </w:pPr>
      <w:r>
        <w:t>Conceptual Niagara-centered riser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nil" w:sz="6" w:color="CAD6DE"/>
          <w:left w:val="nil" w:sz="6" w:color="CAD6DE"/>
          <w:bottom w:val="nil" w:sz="6" w:color="CAD6DE"/>
          <w:right w:val="nil" w:sz="6" w:color="CAD6DE"/>
          <w:insideH w:val="nil" w:sz="6" w:color="CAD6DE"/>
          <w:insideV w:val="nil" w:sz="6" w:color="CAD6DE"/>
        </w:tblBorders>
      </w:tblPr>
      <w:tblGrid>
        <w:gridCol w:w="1696"/>
        <w:gridCol w:w="220"/>
        <w:gridCol w:w="1696"/>
        <w:gridCol w:w="220"/>
        <w:gridCol w:w="1696"/>
        <w:gridCol w:w="220"/>
        <w:gridCol w:w="1696"/>
        <w:gridCol w:w="220"/>
        <w:gridCol w:w="1696"/>
      </w:tblGrid>
      <w:tr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EXPERIENCE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Operators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Reflow views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SUPERVISORY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Niagara N4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Integration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SECURE IP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BACnet/IP · SC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Owner standard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AUTOMATION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PXC4 / 5 / 7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Native logic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FIELD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TX-I/O · DXR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Rooms · equipment</w:t>
            </w:r>
          </w:p>
        </w:tc>
      </w:tr>
    </w:tbl>
    <w:p>
      <w:pPr>
        <w:spacing w:before="80" w:after="160" w:line="264" w:lineRule="auto"/>
      </w:pPr>
      <w:r>
        <w:rPr>
          <w:rFonts w:ascii="Calibri" w:hAnsi="Calibri"/>
          <w:b w:val="0"/>
          <w:i/>
          <w:color w:val="526775"/>
          <w:sz w:val="17"/>
        </w:rPr>
        <w:t>ABT Site remains the native engineering environment. BACnet/SC depends on exact versions and certificate-management standards.</w:t>
      </w:r>
    </w:p>
    <w:p>
      <w:pPr>
        <w:pStyle w:val="Heading2"/>
      </w:pPr>
      <w:r>
        <w:t>Field perspective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4680"/>
        <w:gridCol w:w="4680"/>
      </w:tblGrid>
      <w:tr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8EEF5"/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2B6388"/>
                <w:sz w:val="18"/>
              </w:rPr>
              <w:t>WHERE IT IS STRONG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Scalable PXC controller family.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BACnet/SC supports secure-network designs.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TX-I/O and phased modernization may preserve viable assets.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Natural fit for an existing Siemens estate.</w:t>
            </w:r>
          </w:p>
        </w:tc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4F6F9"/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0E2231"/>
                <w:sz w:val="18"/>
              </w:rPr>
              <w:t>DESIGN CONSIDERATIONS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Native engineering requires ABT tools and training.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Desigo-native workflows do not all map directly to Niagara.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Legacy APOGEE/TALON reuse must be verified.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UCS project-specific resources are still expanding.</w:t>
            </w:r>
          </w:p>
        </w:tc>
      </w:tr>
    </w:tbl>
    <w:p>
      <w:pPr>
        <w:pStyle w:val="Heading2"/>
      </w:pPr>
      <w:r>
        <w:t>Where it fits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1800"/>
        <w:gridCol w:w="2700"/>
        <w:gridCol w:w="4860"/>
      </w:tblGrid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USE CASE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FIT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FIELD NOTE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Existing Siemens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Best fit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Modernize in phases around verified reusable infrastructure.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Secure IP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Strong fit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Projects prepared to govern BACnet/SC certificates and networks.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Legacy migration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Discovery first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Validate databases, wiring, I/O and controller compatibility.</w:t>
            </w:r>
          </w:p>
        </w:tc>
      </w:tr>
    </w:tbl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6F9FB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2B6388"/>
                <w:sz w:val="22"/>
              </w:rPr>
              <w:t>Owner-advocate question</w:t>
            </w:r>
          </w:p>
          <w:p>
            <w:pPr>
              <w:spacing w:after="0" w:line="288" w:lineRule="auto"/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Which existing Siemens assets still create value, and which reuse assumptions only defer cost or risk?</w:t>
            </w:r>
          </w:p>
        </w:tc>
      </w:tr>
    </w:tbl>
    <w:p>
      <w:r>
        <w:br w:type="page"/>
      </w:r>
    </w:p>
    <w:p>
      <w:pPr>
        <w:pStyle w:val="Heading1"/>
      </w:pPr>
      <w:r>
        <w:t>03 · Honeywell Optimizer</w:t>
      </w:r>
    </w:p>
    <w:p>
      <w:pPr>
        <w:spacing w:before="0" w:after="160" w:line="300" w:lineRule="auto"/>
      </w:pPr>
      <w:r>
        <w:rPr>
          <w:rFonts w:ascii="Calibri" w:hAnsi="Calibri"/>
          <w:b/>
          <w:i w:val="0"/>
          <w:color w:val="2B6388"/>
          <w:sz w:val="23"/>
        </w:rPr>
        <w:t>Niagara-aligned plant, equipment and VAV control with deliberate IP, T1L and MS/TP choices.</w:t>
      </w:r>
    </w:p>
    <w:p>
      <w:pPr>
        <w:pStyle w:val="Heading2"/>
      </w:pPr>
      <w:r>
        <w:t>Conceptual Niagara-centered riser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nil" w:sz="6" w:color="CAD6DE"/>
          <w:left w:val="nil" w:sz="6" w:color="CAD6DE"/>
          <w:bottom w:val="nil" w:sz="6" w:color="CAD6DE"/>
          <w:right w:val="nil" w:sz="6" w:color="CAD6DE"/>
          <w:insideH w:val="nil" w:sz="6" w:color="CAD6DE"/>
          <w:insideV w:val="nil" w:sz="6" w:color="CAD6DE"/>
        </w:tblBorders>
      </w:tblPr>
      <w:tblGrid>
        <w:gridCol w:w="1696"/>
        <w:gridCol w:w="220"/>
        <w:gridCol w:w="1696"/>
        <w:gridCol w:w="220"/>
        <w:gridCol w:w="1696"/>
        <w:gridCol w:w="220"/>
        <w:gridCol w:w="1696"/>
        <w:gridCol w:w="220"/>
        <w:gridCol w:w="1696"/>
      </w:tblGrid>
      <w:tr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EXPERIENCE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Operators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Reflow views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SUPERVISORY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Niagara N4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Supervisor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INTEGRATION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BACnet · FOX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Open links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AUTOMATION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Optimizer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Essential · Advanced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FIELD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IP · T1L · MS/TP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VAV · equipment</w:t>
            </w:r>
          </w:p>
        </w:tc>
      </w:tr>
    </w:tbl>
    <w:p>
      <w:pPr>
        <w:spacing w:before="80" w:after="160" w:line="264" w:lineRule="auto"/>
      </w:pPr>
      <w:r>
        <w:rPr>
          <w:rFonts w:ascii="Calibri" w:hAnsi="Calibri"/>
          <w:b w:val="0"/>
          <w:i/>
          <w:color w:val="526775"/>
          <w:sz w:val="17"/>
        </w:rPr>
        <w:t>Confirm current controller availability and exact Niagara/Workbench compatibility during design and again at submittal.</w:t>
      </w:r>
    </w:p>
    <w:p>
      <w:pPr>
        <w:pStyle w:val="Heading2"/>
      </w:pPr>
      <w:r>
        <w:t>Field perspective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4680"/>
        <w:gridCol w:w="4680"/>
      </w:tblGrid>
      <w:tr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8EEF5"/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2B6388"/>
                <w:sz w:val="18"/>
              </w:rPr>
              <w:t>WHERE IT IS STRONG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Niagara-based supervisory options.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Broad BACnet, Modbus and integration support.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IP, T1L and MS/TP VAV strategies.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Practical migration paths for mixed installed bases.</w:t>
            </w:r>
          </w:p>
        </w:tc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4F6F9"/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0E2231"/>
                <w:sz w:val="18"/>
              </w:rPr>
              <w:t>DESIGN CONSIDERATIONS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Many generations, tools and licensing models.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Mixed field networks need an explicit service plan.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WEBs, Spyder and CIPer sites require version discovery.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Lifecycle status should be confirmed, not inferred.</w:t>
            </w:r>
          </w:p>
        </w:tc>
      </w:tr>
    </w:tbl>
    <w:p>
      <w:pPr>
        <w:pStyle w:val="Heading2"/>
      </w:pPr>
      <w:r>
        <w:t>Where it fits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1800"/>
        <w:gridCol w:w="2700"/>
        <w:gridCol w:w="4860"/>
      </w:tblGrid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USE CASE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FIT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FIELD NOTE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Niagara owners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Best fit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Honeywell hardware beneath one Niagara/Reflow experience.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VAV upgrades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Strong fit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IP or T1L may reduce traditional trunk constraints.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Legacy estates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Discovery first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Separate controller generations, tools and database access.</w:t>
            </w:r>
          </w:p>
        </w:tc>
      </w:tr>
    </w:tbl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6F9FB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2B6388"/>
                <w:sz w:val="22"/>
              </w:rPr>
              <w:t>Owner-advocate question</w:t>
            </w:r>
          </w:p>
          <w:p>
            <w:pPr>
              <w:spacing w:after="0" w:line="288" w:lineRule="auto"/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Does the selected network type make commissioning and long-term service simpler, or merely move complexity somewhere less visible?</w:t>
            </w:r>
          </w:p>
        </w:tc>
      </w:tr>
    </w:tbl>
    <w:p>
      <w:r>
        <w:br w:type="page"/>
      </w:r>
    </w:p>
    <w:p>
      <w:pPr>
        <w:pStyle w:val="Heading1"/>
      </w:pPr>
      <w:r>
        <w:t>04 · Johnson Controls</w:t>
      </w:r>
    </w:p>
    <w:p>
      <w:pPr>
        <w:spacing w:before="0" w:after="160" w:line="300" w:lineRule="auto"/>
      </w:pPr>
      <w:r>
        <w:rPr>
          <w:rFonts w:ascii="Calibri" w:hAnsi="Calibri"/>
          <w:b/>
          <w:i w:val="0"/>
          <w:color w:val="2B6388"/>
          <w:sz w:val="23"/>
        </w:rPr>
        <w:t>Facility Explorer and F4 support, with clear separation from Metasys and practical legacy N2 paths.</w:t>
      </w:r>
    </w:p>
    <w:p>
      <w:pPr>
        <w:pStyle w:val="Heading2"/>
      </w:pPr>
      <w:r>
        <w:t>Conceptual Niagara-centered riser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nil" w:sz="6" w:color="CAD6DE"/>
          <w:left w:val="nil" w:sz="6" w:color="CAD6DE"/>
          <w:bottom w:val="nil" w:sz="6" w:color="CAD6DE"/>
          <w:right w:val="nil" w:sz="6" w:color="CAD6DE"/>
          <w:insideH w:val="nil" w:sz="6" w:color="CAD6DE"/>
          <w:insideV w:val="nil" w:sz="6" w:color="CAD6DE"/>
        </w:tblBorders>
      </w:tblPr>
      <w:tblGrid>
        <w:gridCol w:w="1696"/>
        <w:gridCol w:w="220"/>
        <w:gridCol w:w="1696"/>
        <w:gridCol w:w="220"/>
        <w:gridCol w:w="1696"/>
        <w:gridCol w:w="220"/>
        <w:gridCol w:w="1696"/>
        <w:gridCol w:w="220"/>
        <w:gridCol w:w="1696"/>
      </w:tblGrid>
      <w:tr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EXPERIENCE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Operators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Reflow views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SUPERVISORY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Niagara N4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Open integration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SECURE IP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BACnet/SC · IP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Backbone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AUTOMATION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CGE · CVE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CGM · CVM</w:t>
            </w:r>
          </w:p>
        </w:tc>
        <w:tc>
          <w:tcPr>
            <w:tcW w:type="dxa" w:w="22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i w:val="0"/>
                <w:color w:val="2C9AC7"/>
                <w:sz w:val="32"/>
              </w:rPr>
              <w:t>→</w:t>
            </w:r>
          </w:p>
        </w:tc>
        <w:tc>
          <w:tcPr>
            <w:tcW w:type="dxa" w:w="1696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0E2231"/>
          </w:tcPr>
          <w:p>
            <w:pPr>
              <w:spacing w:before="80" w:after="40"/>
              <w:jc w:val="center"/>
            </w:pPr>
            <w:r>
              <w:rPr>
                <w:rFonts w:ascii="Calibri" w:hAnsi="Calibri"/>
                <w:b/>
                <w:i w:val="0"/>
                <w:color w:val="B9FF00"/>
                <w:sz w:val="15"/>
              </w:rPr>
              <w:t>FIELD</w:t>
            </w:r>
          </w:p>
          <w:p>
            <w:pPr>
              <w:spacing w:after="4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MS/TP · N2</w:t>
            </w:r>
          </w:p>
          <w:p>
            <w:pPr>
              <w:spacing w:after="80" w:line="240" w:lineRule="auto"/>
              <w:jc w:val="center"/>
            </w:pPr>
            <w:r>
              <w:rPr>
                <w:rFonts w:ascii="Calibri" w:hAnsi="Calibri"/>
                <w:b w:val="0"/>
                <w:i w:val="0"/>
                <w:color w:val="E8EEF5"/>
                <w:sz w:val="15"/>
              </w:rPr>
              <w:t>XPM · devices</w:t>
            </w:r>
          </w:p>
        </w:tc>
      </w:tr>
    </w:tbl>
    <w:p>
      <w:pPr>
        <w:spacing w:before="80" w:after="160" w:line="264" w:lineRule="auto"/>
      </w:pPr>
      <w:r>
        <w:rPr>
          <w:rFonts w:ascii="Calibri" w:hAnsi="Calibri"/>
          <w:b w:val="0"/>
          <w:i/>
          <w:color w:val="526775"/>
          <w:sz w:val="17"/>
        </w:rPr>
        <w:t>Facility Explorer and Metasys are related ecosystems, not interchangeable products. Tool, firmware and license details drive the final path.</w:t>
      </w:r>
    </w:p>
    <w:p>
      <w:pPr>
        <w:pStyle w:val="Heading2"/>
      </w:pPr>
      <w:r>
        <w:t>Field perspective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4680"/>
        <w:gridCol w:w="4680"/>
      </w:tblGrid>
      <w:tr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8EEF5"/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2B6388"/>
                <w:sz w:val="18"/>
              </w:rPr>
              <w:t>WHERE IT IS STRONG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Facility Explorer is Niagara-based.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BACnet/SC, IP and MS/TP controller options.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Selected N2 paths can support phased migration.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Broad airside equipment-controller range.</w:t>
            </w:r>
          </w:p>
        </w:tc>
        <w:tc>
          <w:tcPr>
            <w:tcW w:type="dxa" w:w="468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4F6F9"/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0E2231"/>
                <w:sz w:val="18"/>
              </w:rPr>
              <w:t>DESIGN CONSIDERATIONS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CCT and native source management remain necessary.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FX and Metasys expectations must be separated.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N2 reuse needs device-level verification and an end-state.</w:t>
            </w:r>
          </w:p>
          <w:p>
            <w:pPr>
              <w:numPr>
                <w:ilvl w:val="0"/>
                <w:numId w:val="10"/>
              </w:numPr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IT segmentation and certificates must be engineered.</w:t>
            </w:r>
          </w:p>
        </w:tc>
      </w:tr>
    </w:tbl>
    <w:p>
      <w:pPr>
        <w:pStyle w:val="Heading2"/>
      </w:pPr>
      <w:r>
        <w:t>Where it fits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1800"/>
        <w:gridCol w:w="2700"/>
        <w:gridCol w:w="4860"/>
      </w:tblGrid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USE CASE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FIT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FIELD NOTE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FX estates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Best fit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Retain Niagara investment while improving owner experience.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N2 transition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Strong fit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Preserve selected devices temporarily during phased work.</w:t>
            </w:r>
          </w:p>
        </w:tc>
      </w:tr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FX / Metasys mix</w:t>
            </w:r>
          </w:p>
        </w:tc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1B2E3A"/>
                <w:sz w:val="19"/>
              </w:rPr>
              <w:t>Discovery first</w:t>
            </w:r>
          </w:p>
        </w:tc>
        <w:tc>
          <w:tcPr>
            <w:tcW w:type="dxa" w:w="48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B2E3A"/>
                <w:sz w:val="19"/>
              </w:rPr>
              <w:t>Document databases, tools, licenses and feature expectations.</w:t>
            </w:r>
          </w:p>
        </w:tc>
      </w:tr>
    </w:tbl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9360"/>
      </w:tblGrid>
      <w:t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F6F9FB"/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2B6388"/>
                <w:sz w:val="22"/>
              </w:rPr>
              <w:t>Owner-advocate question</w:t>
            </w:r>
          </w:p>
          <w:p>
            <w:pPr>
              <w:spacing w:after="0" w:line="288" w:lineRule="auto"/>
            </w:pPr>
            <w:r>
              <w:rPr>
                <w:rFonts w:ascii="Calibri" w:hAnsi="Calibri"/>
                <w:b w:val="0"/>
                <w:i w:val="0"/>
                <w:color w:val="1B2E3A"/>
                <w:sz w:val="21"/>
              </w:rPr>
              <w:t>Is the migration plan reducing dependence on legacy tools and trunks each phase, or just wrapping them with a new front end?</w:t>
            </w:r>
          </w:p>
        </w:tc>
      </w:tr>
    </w:tbl>
    <w:p>
      <w:r>
        <w:br w:type="page"/>
      </w:r>
    </w:p>
    <w:p>
      <w:pPr>
        <w:pStyle w:val="Heading1"/>
      </w:pPr>
      <w:r>
        <w:t>Cross-platform selection matrix</w:t>
      </w:r>
    </w:p>
    <w:p>
      <w:pPr>
        <w:spacing w:before="0" w:after="120" w:line="300" w:lineRule="auto"/>
      </w:pPr>
      <w:r>
        <w:rPr>
          <w:rFonts w:ascii="Calibri" w:hAnsi="Calibri"/>
          <w:b w:val="0"/>
          <w:i/>
          <w:color w:val="526775"/>
          <w:sz w:val="21"/>
        </w:rPr>
        <w:t>This matrix is a starting point for discovery—not a product scorecard.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1700"/>
        <w:gridCol w:w="1900"/>
        <w:gridCol w:w="1900"/>
        <w:gridCol w:w="1900"/>
        <w:gridCol w:w="1960"/>
      </w:tblGrid>
      <w:tr>
        <w:tc>
          <w:tcPr>
            <w:tcW w:type="dxa" w:w="17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DECISION LENS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ABB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SIEMENS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HONEYWELL</w:t>
            </w:r>
          </w:p>
        </w:tc>
        <w:tc>
          <w:tcPr>
            <w:tcW w:type="dxa" w:w="19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2B6388"/>
          </w:tcPr>
          <w:p>
            <w:r>
              <w:rPr>
                <w:rFonts w:ascii="Calibri" w:hAnsi="Calibri"/>
                <w:b/>
                <w:i w:val="0"/>
                <w:color w:val="FFFFFF"/>
                <w:sz w:val="17"/>
              </w:rPr>
              <w:t>JCI</w:t>
            </w:r>
          </w:p>
        </w:tc>
      </w:tr>
      <w:tr>
        <w:tc>
          <w:tcPr>
            <w:tcW w:type="dxa" w:w="1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/>
                <w:i w:val="0"/>
                <w:color w:val="1B2E3A"/>
                <w:sz w:val="17"/>
              </w:rPr>
              <w:t>UCS positioning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Lead platform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Newly added line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Niagara-aligned</w:t>
            </w:r>
          </w:p>
        </w:tc>
        <w:tc>
          <w:tcPr>
            <w:tcW w:type="dxa" w:w="19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Legacy/FX depth</w:t>
            </w:r>
          </w:p>
        </w:tc>
      </w:tr>
      <w:tr>
        <w:tc>
          <w:tcPr>
            <w:tcW w:type="dxa" w:w="1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/>
                <w:i w:val="0"/>
                <w:color w:val="1B2E3A"/>
                <w:sz w:val="17"/>
              </w:rPr>
              <w:t>Native tool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CXproHD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ABT Site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Workbench / product tools</w:t>
            </w:r>
          </w:p>
        </w:tc>
        <w:tc>
          <w:tcPr>
            <w:tcW w:type="dxa" w:w="19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CCT / product tools</w:t>
            </w:r>
          </w:p>
        </w:tc>
      </w:tr>
      <w:tr>
        <w:tc>
          <w:tcPr>
            <w:tcW w:type="dxa" w:w="1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/>
                <w:i w:val="0"/>
                <w:color w:val="1B2E3A"/>
                <w:sz w:val="17"/>
              </w:rPr>
              <w:t>Common strengths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Open BACnet; flexible I/O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PXC scale; BACnet/SC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Niagara alignment; VAV options</w:t>
            </w:r>
          </w:p>
        </w:tc>
        <w:tc>
          <w:tcPr>
            <w:tcW w:type="dxa" w:w="19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FX Niagara; broad controllers</w:t>
            </w:r>
          </w:p>
        </w:tc>
      </w:tr>
      <w:tr>
        <w:tc>
          <w:tcPr>
            <w:tcW w:type="dxa" w:w="1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/>
                <w:i w:val="0"/>
                <w:color w:val="1B2E3A"/>
                <w:sz w:val="17"/>
              </w:rPr>
              <w:t>Discovery focus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Generations and source files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Legacy reuse and versions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Generations and network types</w:t>
            </w:r>
          </w:p>
        </w:tc>
        <w:tc>
          <w:tcPr>
            <w:tcW w:type="dxa" w:w="19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FX vs Metasys; N2 end-state</w:t>
            </w:r>
          </w:p>
        </w:tc>
      </w:tr>
      <w:tr>
        <w:tc>
          <w:tcPr>
            <w:tcW w:type="dxa" w:w="1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/>
                <w:i w:val="0"/>
                <w:color w:val="1B2E3A"/>
                <w:sz w:val="17"/>
              </w:rPr>
              <w:t>Owner question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Open and serviceable?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What is truly reusable?</w:t>
            </w:r>
          </w:p>
        </w:tc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Which network simplifies service?</w:t>
            </w:r>
          </w:p>
        </w:tc>
        <w:tc>
          <w:tcPr>
            <w:tcW w:type="dxa" w:w="19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Does each phase reduce legacy risk?</w:t>
            </w:r>
          </w:p>
        </w:tc>
      </w:tr>
    </w:tbl>
    <w:p>
      <w:pPr>
        <w:pStyle w:val="Heading2"/>
      </w:pPr>
      <w:r>
        <w:t>Design and procurement cautions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Confirm exact model and lifecycle status when the submittal is prepared.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Define database, license, certificate, backup and source-code ownership in the contract.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Document IT/OT routing, VLANs, firewall rules, BACnet broadcasts and remote-access responsibilities.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Test sequences, alarms, histories, trend retention and operator workflows—not just point visibility.</w:t>
      </w:r>
    </w:p>
    <w:p>
      <w:pPr>
        <w:numPr>
          <w:ilvl w:val="0"/>
          <w:numId w:val="10"/>
        </w:numPr>
      </w:pPr>
      <w:r>
        <w:rPr>
          <w:rFonts w:ascii="Calibri" w:hAnsi="Calibri"/>
          <w:b w:val="0"/>
          <w:i w:val="0"/>
          <w:color w:val="1B2E3A"/>
          <w:sz w:val="21"/>
        </w:rPr>
        <w:t>Treat every reuse claim as a field-verification item until proven.</w:t>
      </w:r>
    </w:p>
    <w:p>
      <w:pPr>
        <w:pStyle w:val="Heading2"/>
      </w:pPr>
      <w:r>
        <w:t>Primary public references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color="CAD6DE"/>
          <w:left w:val="single" w:sz="6" w:color="CAD6DE"/>
          <w:bottom w:val="single" w:sz="6" w:color="CAD6DE"/>
          <w:right w:val="single" w:sz="6" w:color="CAD6DE"/>
          <w:insideH w:val="single" w:sz="6" w:color="CAD6DE"/>
          <w:insideV w:val="single" w:sz="6" w:color="CAD6DE"/>
        </w:tblBorders>
      </w:tblPr>
      <w:tblGrid>
        <w:gridCol w:w="2700"/>
        <w:gridCol w:w="6660"/>
      </w:tblGrid>
      <w:tr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8EEF5"/>
          </w:tcPr>
          <w:p>
            <w:r>
              <w:rPr>
                <w:rFonts w:ascii="Calibri" w:hAnsi="Calibri"/>
                <w:b/>
                <w:i w:val="0"/>
                <w:color w:val="2B6388"/>
                <w:sz w:val="18"/>
              </w:rPr>
              <w:t>PLATFORM</w:t>
            </w:r>
          </w:p>
        </w:tc>
        <w:tc>
          <w:tcPr>
            <w:tcW w:type="dxa" w:w="66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8EEF5"/>
          </w:tcPr>
          <w:p>
            <w:r>
              <w:rPr>
                <w:rFonts w:ascii="Calibri" w:hAnsi="Calibri"/>
                <w:b/>
                <w:i w:val="0"/>
                <w:color w:val="2B6388"/>
                <w:sz w:val="18"/>
              </w:rPr>
              <w:t>MANUFACTURER REFERENCE</w:t>
            </w:r>
          </w:p>
        </w:tc>
      </w:tr>
      <w:tr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/>
                <w:i w:val="0"/>
                <w:color w:val="1B2E3A"/>
                <w:sz w:val="17"/>
              </w:rPr>
              <w:t>ABB CB Line / FLXeon / CXproHD</w:t>
            </w:r>
          </w:p>
        </w:tc>
        <w:tc>
          <w:tcPr>
            <w:tcW w:type="dxa" w:w="66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electrification.us.abb.com/products/building-automation-controls</w:t>
            </w:r>
          </w:p>
        </w:tc>
      </w:tr>
      <w:tr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/>
                <w:i w:val="0"/>
                <w:color w:val="1B2E3A"/>
                <w:sz w:val="17"/>
              </w:rPr>
              <w:t>Siemens Desigo PXC / modernization</w:t>
            </w:r>
          </w:p>
        </w:tc>
        <w:tc>
          <w:tcPr>
            <w:tcW w:type="dxa" w:w="66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siemens.com/en-us/products/desigo/pxc and /campaigns/desigo-modernization-pathway</w:t>
            </w:r>
          </w:p>
        </w:tc>
      </w:tr>
      <w:tr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/>
                <w:i w:val="0"/>
                <w:color w:val="1B2E3A"/>
                <w:sz w:val="17"/>
              </w:rPr>
              <w:t>Honeywell Optimizer</w:t>
            </w:r>
          </w:p>
        </w:tc>
        <w:tc>
          <w:tcPr>
            <w:tcW w:type="dxa" w:w="66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buildings.honeywell.com — Optimizer Supervisor, Essential, Advanced and VAV pages</w:t>
            </w:r>
          </w:p>
        </w:tc>
      </w:tr>
      <w:tr>
        <w:tc>
          <w:tcPr>
            <w:tcW w:type="dxa" w:w="270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/>
                <w:i w:val="0"/>
                <w:color w:val="1B2E3A"/>
                <w:sz w:val="17"/>
              </w:rPr>
              <w:t>Johnson Controls Facility Explorer</w:t>
            </w:r>
          </w:p>
        </w:tc>
        <w:tc>
          <w:tcPr>
            <w:tcW w:type="dxa" w:w="6660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rPr>
                <w:rFonts w:ascii="Calibri" w:hAnsi="Calibri"/>
                <w:b w:val="0"/>
                <w:i w:val="0"/>
                <w:color w:val="1B2E3A"/>
                <w:sz w:val="17"/>
              </w:rPr>
              <w:t>johnsoncontrols.com/building-automation-and-controls/facility-explorer and docs.johnsoncontrols.com</w:t>
            </w:r>
          </w:p>
        </w:tc>
      </w:tr>
    </w:tbl>
    <w:p>
      <w:pPr>
        <w:spacing w:before="160" w:after="0" w:line="276" w:lineRule="auto"/>
      </w:pPr>
      <w:r>
        <w:rPr>
          <w:rFonts w:ascii="Calibri" w:hAnsi="Calibri"/>
          <w:b w:val="0"/>
          <w:i/>
          <w:color w:val="526775"/>
          <w:sz w:val="17"/>
        </w:rPr>
        <w:t>Disclaimer: This document is a conceptual planning aid, not a stamped controls design, cybersecurity plan or product-availability guarantee. Final architecture must be engineered for the specific project and approved by the owner and responsible design professionals.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60"/>
      <w:jc w:val="right"/>
    </w:pPr>
    <w:r>
      <w:rPr>
        <w:rFonts w:ascii="Calibri" w:hAnsi="Calibri"/>
        <w:b/>
        <w:i w:val="0"/>
        <w:color w:val="526775"/>
        <w:sz w:val="17"/>
      </w:rPr>
      <w:t xml:space="preserve">UCS · FIELD-EARNED GUIDANCE   |   </w:t>
    </w:r>
    <w:r>
      <w:rPr>
        <w:rFonts w:ascii="Calibri" w:hAnsi="Calibri"/>
        <w:b w:val="0"/>
        <w:i w:val="0"/>
        <w:color w:val="526775"/>
        <w:sz w:val="17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360" w:val="left"/>
      </w:tabs>
      <w:spacing w:after="60"/>
      <w:pBdr>
        <w:bottom w:val="single" w:sz="10" w:space="4" w:color="2C9AC7"/>
      </w:pBdr>
    </w:pPr>
    <w:r>
      <w:rPr>
        <w:rFonts w:ascii="Calibri" w:hAnsi="Calibri"/>
        <w:b/>
        <w:i w:val="0"/>
        <w:color w:val="2B6388"/>
        <w:sz w:val="17"/>
      </w:rPr>
      <w:t>UNIVERSAL CONTROLS SOLUTION</w:t>
    </w:r>
    <w:r>
      <w:rPr>
        <w:rFonts w:ascii="Calibri" w:hAnsi="Calibri"/>
        <w:b/>
        <w:i w:val="0"/>
        <w:color w:val="526775"/>
        <w:sz w:val="17"/>
      </w:rPr>
      <w:tab/>
      <w:t>NIAGARA PLATFORM ARCHITECTURE GUIDE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0"/>
        <w:spacing w:after="80" w:line="300" w:lineRule="auto"/>
      </w:pPr>
      <w:rPr>
        <w:rFonts w:ascii="Calibri" w:hAnsi="Calibri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1B2E3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2B638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2B638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0E223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Conceptual Niagara-centered building automation architectures</dc:subject>
  <dc:creator>Universal Controls Solution</dc:creator>
  <cp:keywords/>
  <dc:description>Design preset: compact_reference_guide. Named UCS brand override: heading color #2B6388, accent #2C9AC7, navy #0E2231, lime #B9FF00. Header pattern: editorial_cover.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